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B03C" w14:textId="77777777" w:rsidR="00506A3A" w:rsidRDefault="00506A3A" w:rsidP="00A95C5F">
      <w:pPr>
        <w:rPr>
          <w:b/>
          <w:bCs/>
        </w:rPr>
      </w:pPr>
    </w:p>
    <w:p w14:paraId="428A30B1" w14:textId="77777777" w:rsidR="004A5734" w:rsidRDefault="004A5734" w:rsidP="00A95C5F">
      <w:pPr>
        <w:rPr>
          <w:b/>
          <w:bCs/>
        </w:rPr>
      </w:pPr>
    </w:p>
    <w:p w14:paraId="5FD3FAEF" w14:textId="77777777" w:rsidR="0037068C" w:rsidRDefault="004A5734" w:rsidP="00FA2A96">
      <w:r w:rsidRPr="0037068C">
        <w:t xml:space="preserve">Täname võimaluse eest tutvuda </w:t>
      </w:r>
      <w:r w:rsidR="00951DAE" w:rsidRPr="0037068C">
        <w:t xml:space="preserve">koostatud </w:t>
      </w:r>
      <w:r w:rsidRPr="0037068C">
        <w:t xml:space="preserve">SFDR muudatuste seletuskirjaga. </w:t>
      </w:r>
      <w:r w:rsidR="00951DAE" w:rsidRPr="0037068C">
        <w:t>Märgime, et toetame algatust</w:t>
      </w:r>
      <w:r w:rsidRPr="0037068C">
        <w:t xml:space="preserve"> SFDR-</w:t>
      </w:r>
      <w:proofErr w:type="spellStart"/>
      <w:r w:rsidRPr="0037068C">
        <w:t>is</w:t>
      </w:r>
      <w:proofErr w:type="spellEnd"/>
      <w:r w:rsidRPr="0037068C">
        <w:t xml:space="preserve"> </w:t>
      </w:r>
      <w:r w:rsidR="00951DAE" w:rsidRPr="0037068C">
        <w:t>muutmiseks</w:t>
      </w:r>
      <w:r w:rsidR="0037068C">
        <w:t>.</w:t>
      </w:r>
      <w:r w:rsidR="00E9678A" w:rsidRPr="0037068C">
        <w:t xml:space="preserve"> </w:t>
      </w:r>
      <w:r w:rsidR="00951DAE" w:rsidRPr="0037068C">
        <w:t>On õige, et kõnealune r</w:t>
      </w:r>
      <w:r w:rsidR="00FA2A96" w:rsidRPr="0037068C">
        <w:t xml:space="preserve">egulatsioon on praktikas osutunud </w:t>
      </w:r>
      <w:r w:rsidR="0037068C">
        <w:t>ebatõhusaks,</w:t>
      </w:r>
      <w:r w:rsidR="00FA2A96" w:rsidRPr="0037068C">
        <w:t xml:space="preserve"> selle kohaldamine on finantsturu osaliste </w:t>
      </w:r>
      <w:r w:rsidR="00951DAE" w:rsidRPr="0037068C">
        <w:t>jaoks</w:t>
      </w:r>
      <w:r w:rsidR="00FA2A96" w:rsidRPr="0037068C">
        <w:t xml:space="preserve"> põhjendamatult keerukas</w:t>
      </w:r>
      <w:r w:rsidR="00E9678A" w:rsidRPr="0037068C">
        <w:t xml:space="preserve"> </w:t>
      </w:r>
      <w:r w:rsidR="00951DAE" w:rsidRPr="0037068C">
        <w:t>ning</w:t>
      </w:r>
      <w:r w:rsidR="00E9678A" w:rsidRPr="0037068C">
        <w:t xml:space="preserve"> </w:t>
      </w:r>
      <w:r w:rsidR="00951DAE" w:rsidRPr="0037068C">
        <w:t>ressursi</w:t>
      </w:r>
      <w:r w:rsidR="00E9678A" w:rsidRPr="0037068C">
        <w:t>mahukas</w:t>
      </w:r>
      <w:r w:rsidR="00FA2A96" w:rsidRPr="0037068C">
        <w:t xml:space="preserve">, sätestatud vormid on ülemäära keerukad ja </w:t>
      </w:r>
      <w:r w:rsidR="0037068C">
        <w:t>avaldatav teave liiga pikk</w:t>
      </w:r>
      <w:r w:rsidR="00FA2A96" w:rsidRPr="0037068C">
        <w:t xml:space="preserve">, erinev tõlgendamine ei võimalda praktikas </w:t>
      </w:r>
      <w:r w:rsidR="00951DAE" w:rsidRPr="0037068C">
        <w:t>finantstooteid</w:t>
      </w:r>
      <w:r w:rsidR="00FA2A96" w:rsidRPr="0037068C">
        <w:t xml:space="preserve"> tulemuslikult võrrelda jne.</w:t>
      </w:r>
      <w:r w:rsidR="0037068C">
        <w:t xml:space="preserve"> Selle </w:t>
      </w:r>
      <w:r w:rsidR="00951DAE" w:rsidRPr="0037068C">
        <w:t>tulemusel on SFDR rakendamisest</w:t>
      </w:r>
      <w:r w:rsidR="0037068C">
        <w:t>,</w:t>
      </w:r>
      <w:r w:rsidR="00951DAE" w:rsidRPr="0037068C">
        <w:t xml:space="preserve"> eriti </w:t>
      </w:r>
      <w:proofErr w:type="spellStart"/>
      <w:r w:rsidR="00951DAE" w:rsidRPr="0037068C">
        <w:t>jaeinvestor</w:t>
      </w:r>
      <w:r w:rsidR="0037068C">
        <w:t>i</w:t>
      </w:r>
      <w:proofErr w:type="spellEnd"/>
      <w:r w:rsidR="0037068C">
        <w:t xml:space="preserve"> /</w:t>
      </w:r>
      <w:r w:rsidR="00951DAE" w:rsidRPr="0037068C">
        <w:t xml:space="preserve"> tarbija</w:t>
      </w:r>
      <w:r w:rsidR="0037068C">
        <w:t>,</w:t>
      </w:r>
      <w:r w:rsidR="00951DAE" w:rsidRPr="0037068C">
        <w:t xml:space="preserve"> saadav tegelik kasu äärmiselt küsitav. </w:t>
      </w:r>
    </w:p>
    <w:p w14:paraId="6D9F9AF0" w14:textId="32C9E204" w:rsidR="00FA2A96" w:rsidRPr="0037068C" w:rsidRDefault="00951DAE" w:rsidP="00FA2A96">
      <w:r w:rsidRPr="0037068C">
        <w:t xml:space="preserve">Eeltoodust tulenevalt leiame, et algatus SFDR muutmiseks on </w:t>
      </w:r>
      <w:r w:rsidR="0037068C">
        <w:t>kindlasti nö</w:t>
      </w:r>
      <w:r w:rsidRPr="0037068C">
        <w:t xml:space="preserve"> samm õiges suunas, kui arvestades EL initsiatiivi bürokraatia vähendamiseks</w:t>
      </w:r>
      <w:r w:rsidR="0037068C">
        <w:t>,</w:t>
      </w:r>
      <w:r w:rsidRPr="0037068C">
        <w:t xml:space="preserve"> on see kokkuvõttes liiga vähe </w:t>
      </w:r>
      <w:r w:rsidR="0037068C">
        <w:t>ning ebatõhus.</w:t>
      </w:r>
      <w:r w:rsidRPr="0037068C">
        <w:t xml:space="preserve"> </w:t>
      </w:r>
      <w:r w:rsidR="00FA2A96" w:rsidRPr="0037068C">
        <w:t xml:space="preserve"> </w:t>
      </w:r>
    </w:p>
    <w:p w14:paraId="2114E907" w14:textId="1EA69778" w:rsidR="004A5734" w:rsidRPr="0037068C" w:rsidRDefault="0037068C" w:rsidP="00A95C5F">
      <w:r>
        <w:t>Seoses sellega toome välja järgmisi</w:t>
      </w:r>
      <w:r w:rsidR="004A5734" w:rsidRPr="0037068C">
        <w:t xml:space="preserve"> aspekte</w:t>
      </w:r>
      <w:r w:rsidR="00577F2F" w:rsidRPr="0037068C">
        <w:t>:</w:t>
      </w:r>
    </w:p>
    <w:p w14:paraId="148DCB95" w14:textId="363076B2" w:rsidR="00FA2A96" w:rsidRPr="0037068C" w:rsidRDefault="0037068C" w:rsidP="00951DAE">
      <w:pPr>
        <w:pStyle w:val="ListParagraph"/>
        <w:numPr>
          <w:ilvl w:val="0"/>
          <w:numId w:val="2"/>
        </w:numPr>
      </w:pPr>
      <w:r>
        <w:t xml:space="preserve">Hetkel kehtivad </w:t>
      </w:r>
      <w:r w:rsidR="004A5734" w:rsidRPr="0037068C">
        <w:t>SFDR nõuded kehti</w:t>
      </w:r>
      <w:r w:rsidR="00951DAE" w:rsidRPr="0037068C">
        <w:t>vad</w:t>
      </w:r>
      <w:r w:rsidR="004A5734" w:rsidRPr="0037068C">
        <w:t xml:space="preserve"> kuni</w:t>
      </w:r>
      <w:r w:rsidR="00277ACB" w:rsidRPr="0037068C">
        <w:t xml:space="preserve"> muudatuste</w:t>
      </w:r>
      <w:r w:rsidR="004A5734" w:rsidRPr="0037068C">
        <w:t xml:space="preserve"> ametliku menetluse tulemusel saavutatava</w:t>
      </w:r>
      <w:r w:rsidR="00277ACB" w:rsidRPr="0037068C">
        <w:t xml:space="preserve"> muudetud</w:t>
      </w:r>
      <w:r w:rsidR="001943B9" w:rsidRPr="0037068C">
        <w:t xml:space="preserve"> </w:t>
      </w:r>
      <w:proofErr w:type="spellStart"/>
      <w:r w:rsidR="001943B9" w:rsidRPr="0037068C">
        <w:t>SFDR´i</w:t>
      </w:r>
      <w:proofErr w:type="spellEnd"/>
      <w:r w:rsidR="00277ACB" w:rsidRPr="0037068C">
        <w:t xml:space="preserve"> määruse </w:t>
      </w:r>
      <w:r w:rsidR="001943B9" w:rsidRPr="0037068C">
        <w:t xml:space="preserve"> </w:t>
      </w:r>
      <w:r w:rsidR="004A5734" w:rsidRPr="0037068C">
        <w:t xml:space="preserve">jõustumiseni. </w:t>
      </w:r>
    </w:p>
    <w:p w14:paraId="707CE117" w14:textId="77777777" w:rsidR="00FA2A96" w:rsidRPr="0037068C" w:rsidRDefault="00FA2A96" w:rsidP="00FA2A96">
      <w:pPr>
        <w:pStyle w:val="ListParagraph"/>
      </w:pPr>
    </w:p>
    <w:p w14:paraId="7FC88360" w14:textId="7DF020E4" w:rsidR="00AB327A" w:rsidRPr="0037068C" w:rsidRDefault="00277ACB" w:rsidP="00AB327A">
      <w:pPr>
        <w:pStyle w:val="ListParagraph"/>
      </w:pPr>
      <w:r w:rsidRPr="0037068C">
        <w:t xml:space="preserve">Käesoleval ajal on tekkinud olukord, kus kõikidel tasanditel, sh EL institutsioonid, on </w:t>
      </w:r>
      <w:r w:rsidR="004A5734" w:rsidRPr="0037068C">
        <w:t xml:space="preserve">tuvastatud </w:t>
      </w:r>
      <w:r w:rsidRPr="0037068C">
        <w:t xml:space="preserve">SFDR praktilised ebakõlad ja </w:t>
      </w:r>
      <w:r w:rsidR="004A5734" w:rsidRPr="0037068C">
        <w:t>tunn</w:t>
      </w:r>
      <w:r w:rsidRPr="0037068C">
        <w:t>ustatud vajadust määruse muutmisele. Suures osas on eelnõu näol kokku lepitud minimaalsed vajalikud muudatused</w:t>
      </w:r>
      <w:r w:rsidR="0037068C">
        <w:t xml:space="preserve"> ning mitmes aspektis muutub oluliselt nii kohustatud subjektide ring kui ka kohustuste ulatus.</w:t>
      </w:r>
      <w:r w:rsidRPr="0037068C">
        <w:t xml:space="preserve"> Samas, kui muudatuste menetluseni lõpuni ja </w:t>
      </w:r>
      <w:r w:rsidR="00FA2A96" w:rsidRPr="0037068C">
        <w:t xml:space="preserve">tuleb </w:t>
      </w:r>
      <w:r w:rsidR="001943B9" w:rsidRPr="0037068C">
        <w:t xml:space="preserve">SFDR </w:t>
      </w:r>
      <w:r w:rsidR="00FA2A96" w:rsidRPr="0037068C">
        <w:t xml:space="preserve">nõudeid </w:t>
      </w:r>
      <w:r w:rsidRPr="0037068C">
        <w:t xml:space="preserve">finantsturu osaliste poolt </w:t>
      </w:r>
      <w:r w:rsidR="00FA2A96" w:rsidRPr="0037068C">
        <w:t>edasi täita</w:t>
      </w:r>
      <w:r w:rsidR="0037068C">
        <w:t>, sh ka nende</w:t>
      </w:r>
      <w:r w:rsidR="001F12D3">
        <w:t xml:space="preserve"> poolt</w:t>
      </w:r>
      <w:r w:rsidR="0037068C">
        <w:t xml:space="preserve">, </w:t>
      </w:r>
      <w:r w:rsidR="001F12D3">
        <w:t>kes arvatakse määruse skoobist välja ning kõikidel finantsturu osalistel selliste kohustuste täitmist, mille olemasolu muudatustega tühistatakse.</w:t>
      </w:r>
    </w:p>
    <w:p w14:paraId="43B8C4FD" w14:textId="7B242451" w:rsidR="001943B9" w:rsidRPr="0037068C" w:rsidRDefault="001F12D3" w:rsidP="0037068C">
      <w:pPr>
        <w:ind w:left="708"/>
      </w:pPr>
      <w:r>
        <w:t>T</w:t>
      </w:r>
      <w:r w:rsidR="001943B9" w:rsidRPr="0037068C">
        <w:t xml:space="preserve">eeme ettepaneku, et </w:t>
      </w:r>
      <w:r w:rsidR="00277ACB" w:rsidRPr="0037068C">
        <w:t>EIOPA/</w:t>
      </w:r>
      <w:r w:rsidR="001943B9" w:rsidRPr="0037068C">
        <w:t>EBA</w:t>
      </w:r>
      <w:r w:rsidR="00277ACB" w:rsidRPr="0037068C">
        <w:t>/</w:t>
      </w:r>
      <w:r w:rsidR="001943B9" w:rsidRPr="0037068C">
        <w:t>ESMA</w:t>
      </w:r>
      <w:r w:rsidR="00277ACB" w:rsidRPr="0037068C">
        <w:t xml:space="preserve"> või muu asjakohane</w:t>
      </w:r>
      <w:r w:rsidR="0037068C">
        <w:t xml:space="preserve"> EL</w:t>
      </w:r>
      <w:r w:rsidR="00277ACB" w:rsidRPr="0037068C">
        <w:t xml:space="preserve"> institutsioon</w:t>
      </w:r>
      <w:r w:rsidR="001943B9" w:rsidRPr="0037068C">
        <w:t xml:space="preserve"> </w:t>
      </w:r>
      <w:r w:rsidR="00E9678A" w:rsidRPr="0037068C">
        <w:t>väljastaks</w:t>
      </w:r>
      <w:r w:rsidR="001943B9" w:rsidRPr="0037068C">
        <w:t xml:space="preserve"> nö no-</w:t>
      </w:r>
      <w:proofErr w:type="spellStart"/>
      <w:r w:rsidR="001943B9" w:rsidRPr="0037068C">
        <w:t>action</w:t>
      </w:r>
      <w:proofErr w:type="spellEnd"/>
      <w:r w:rsidR="001943B9" w:rsidRPr="0037068C">
        <w:t xml:space="preserve"> </w:t>
      </w:r>
      <w:proofErr w:type="spellStart"/>
      <w:r w:rsidR="001943B9" w:rsidRPr="0037068C">
        <w:t>letter´i</w:t>
      </w:r>
      <w:proofErr w:type="spellEnd"/>
      <w:r w:rsidR="001943B9" w:rsidRPr="0037068C">
        <w:t xml:space="preserve">, </w:t>
      </w:r>
      <w:r w:rsidR="00277ACB" w:rsidRPr="0037068C">
        <w:t xml:space="preserve">kuni SFDR muudatuste jõustumiseni. </w:t>
      </w:r>
    </w:p>
    <w:p w14:paraId="17E7C1EA" w14:textId="77777777" w:rsidR="00AB327A" w:rsidRPr="0037068C" w:rsidRDefault="00AB327A" w:rsidP="001943B9"/>
    <w:p w14:paraId="730A60ED" w14:textId="58349A8A" w:rsidR="00AB327A" w:rsidRPr="0037068C" w:rsidRDefault="001F12D3" w:rsidP="00AB327A">
      <w:pPr>
        <w:pStyle w:val="ListParagraph"/>
        <w:numPr>
          <w:ilvl w:val="0"/>
          <w:numId w:val="2"/>
        </w:numPr>
      </w:pPr>
      <w:r>
        <w:t>Peame vajalikuks, et k</w:t>
      </w:r>
      <w:r w:rsidR="00AB327A" w:rsidRPr="0037068C">
        <w:t xml:space="preserve">oos SFDR-i muudatustega tuleks samaaegselt </w:t>
      </w:r>
      <w:r w:rsidR="009B2288" w:rsidRPr="0037068C">
        <w:t xml:space="preserve">üle vaadata ja </w:t>
      </w:r>
      <w:r w:rsidR="00AB327A" w:rsidRPr="0037068C">
        <w:t xml:space="preserve">menetleda ka </w:t>
      </w:r>
      <w:r w:rsidR="009B2288" w:rsidRPr="0037068C">
        <w:t xml:space="preserve">komisjoni </w:t>
      </w:r>
      <w:r w:rsidR="00AB327A" w:rsidRPr="0037068C">
        <w:t>delegeeritud määruse (EL 2022/1288) muudatusi või vastavalt uu</w:t>
      </w:r>
      <w:r w:rsidR="009B2288" w:rsidRPr="0037068C">
        <w:t>si</w:t>
      </w:r>
      <w:r w:rsidR="00AB327A" w:rsidRPr="0037068C">
        <w:t xml:space="preserve"> planeeritava</w:t>
      </w:r>
      <w:r w:rsidR="009B2288" w:rsidRPr="0037068C">
        <w:t>i</w:t>
      </w:r>
      <w:r w:rsidR="00AB327A" w:rsidRPr="0037068C">
        <w:t>d</w:t>
      </w:r>
      <w:r w:rsidR="009B2288" w:rsidRPr="0037068C">
        <w:t xml:space="preserve"> regulatiivseid</w:t>
      </w:r>
      <w:r w:rsidR="00AB327A" w:rsidRPr="0037068C">
        <w:t xml:space="preserve"> tehnilis</w:t>
      </w:r>
      <w:r w:rsidR="009B2288" w:rsidRPr="0037068C">
        <w:t>i</w:t>
      </w:r>
      <w:r w:rsidR="00AB327A" w:rsidRPr="0037068C">
        <w:t xml:space="preserve"> standard</w:t>
      </w:r>
      <w:r w:rsidR="009B2288" w:rsidRPr="0037068C">
        <w:t>eid</w:t>
      </w:r>
      <w:r w:rsidR="00AB327A" w:rsidRPr="0037068C">
        <w:t>. Ilma SFDR-i muutmisega</w:t>
      </w:r>
      <w:r w:rsidR="009B2288" w:rsidRPr="0037068C">
        <w:t xml:space="preserve"> vältimatult</w:t>
      </w:r>
      <w:r w:rsidR="00AB327A" w:rsidRPr="0037068C">
        <w:t xml:space="preserve"> kaasnevat</w:t>
      </w:r>
      <w:r w:rsidR="009B2288" w:rsidRPr="0037068C">
        <w:t xml:space="preserve"> regulatiivsete</w:t>
      </w:r>
      <w:r w:rsidR="00AB327A" w:rsidRPr="0037068C">
        <w:t xml:space="preserve"> tehnilis</w:t>
      </w:r>
      <w:r w:rsidR="009B2288" w:rsidRPr="0037068C">
        <w:t>te</w:t>
      </w:r>
      <w:r w:rsidR="00AB327A" w:rsidRPr="0037068C">
        <w:t xml:space="preserve"> standard</w:t>
      </w:r>
      <w:r w:rsidR="009B2288" w:rsidRPr="0037068C">
        <w:t>ite muutuseid ja uusi asjakohaseid standardeid</w:t>
      </w:r>
      <w:r w:rsidR="00AB327A" w:rsidRPr="0037068C">
        <w:t xml:space="preserve"> </w:t>
      </w:r>
      <w:r>
        <w:t>ning</w:t>
      </w:r>
      <w:r w:rsidR="009B2288" w:rsidRPr="0037068C">
        <w:t xml:space="preserve"> kaasneva</w:t>
      </w:r>
      <w:r>
        <w:t>te kohustuste ulatust,</w:t>
      </w:r>
      <w:r w:rsidR="009B2288" w:rsidRPr="0037068C">
        <w:t xml:space="preserve"> </w:t>
      </w:r>
      <w:r w:rsidR="00AB327A" w:rsidRPr="0037068C">
        <w:t xml:space="preserve">nõudeid teadmata, ei ole võimalik kujundada arusaama ja seisukohta planeeritavate </w:t>
      </w:r>
      <w:proofErr w:type="spellStart"/>
      <w:r w:rsidR="00AB327A" w:rsidRPr="0037068C">
        <w:t>SFDR’i</w:t>
      </w:r>
      <w:proofErr w:type="spellEnd"/>
      <w:r w:rsidR="00AB327A" w:rsidRPr="0037068C">
        <w:t xml:space="preserve"> muudatuste tegeliku sisu</w:t>
      </w:r>
      <w:r w:rsidR="009B2288" w:rsidRPr="0037068C">
        <w:t xml:space="preserve"> ja ulatuse </w:t>
      </w:r>
      <w:r>
        <w:t>ega</w:t>
      </w:r>
      <w:r w:rsidR="009B2288" w:rsidRPr="0037068C">
        <w:t xml:space="preserve"> finantsuru osalistele tegelikult kaasneva halduskoormuse ning mahu kohta.</w:t>
      </w:r>
    </w:p>
    <w:p w14:paraId="2670AFFE" w14:textId="77777777" w:rsidR="009B2288" w:rsidRPr="0037068C" w:rsidRDefault="009B2288" w:rsidP="009B2288">
      <w:pPr>
        <w:pStyle w:val="ListParagraph"/>
      </w:pPr>
    </w:p>
    <w:p w14:paraId="61D1F7E3" w14:textId="645C3EA6" w:rsidR="001943B9" w:rsidRPr="0037068C" w:rsidRDefault="001943B9" w:rsidP="00B12A39">
      <w:pPr>
        <w:pStyle w:val="ListParagraph"/>
        <w:numPr>
          <w:ilvl w:val="0"/>
          <w:numId w:val="2"/>
        </w:numPr>
      </w:pPr>
      <w:r w:rsidRPr="0037068C">
        <w:t xml:space="preserve">Lisaks SFDR muutmisele tuleks </w:t>
      </w:r>
      <w:r w:rsidR="009B2288" w:rsidRPr="0037068C">
        <w:t xml:space="preserve">samaaegselt </w:t>
      </w:r>
      <w:r w:rsidRPr="0037068C">
        <w:t xml:space="preserve">üle vaadata </w:t>
      </w:r>
      <w:r w:rsidR="009B2288" w:rsidRPr="0037068C">
        <w:t>ja ka k</w:t>
      </w:r>
      <w:r w:rsidR="00B12A39" w:rsidRPr="0037068C">
        <w:t>omisjoni delegeeritud määrus</w:t>
      </w:r>
      <w:r w:rsidR="009B2288" w:rsidRPr="0037068C">
        <w:t xml:space="preserve">te EL 2017/2358 ning </w:t>
      </w:r>
      <w:r w:rsidR="007E060F" w:rsidRPr="0037068C">
        <w:t xml:space="preserve">EL </w:t>
      </w:r>
      <w:r w:rsidR="009B2288" w:rsidRPr="0037068C">
        <w:t xml:space="preserve">2017/2359 </w:t>
      </w:r>
      <w:r w:rsidR="00B12A39" w:rsidRPr="0037068C">
        <w:t>nõu</w:t>
      </w:r>
      <w:r w:rsidR="009B2288" w:rsidRPr="0037068C">
        <w:t xml:space="preserve">ded ja </w:t>
      </w:r>
      <w:r w:rsidR="007E060F" w:rsidRPr="0037068C">
        <w:t xml:space="preserve">menetleda </w:t>
      </w:r>
      <w:r w:rsidR="009B2288" w:rsidRPr="0037068C">
        <w:t xml:space="preserve">nende võimalikud </w:t>
      </w:r>
      <w:r w:rsidR="007E060F" w:rsidRPr="0037068C">
        <w:t xml:space="preserve">(ja vajalikud) </w:t>
      </w:r>
      <w:r w:rsidR="009B2288" w:rsidRPr="0037068C">
        <w:t xml:space="preserve">muudatused. </w:t>
      </w:r>
      <w:r w:rsidR="007E060F" w:rsidRPr="0037068C">
        <w:t xml:space="preserve">Oleme seisukohal, et ilma samaaegse käsitluseta ei ole nimetatud delegeeritud määrustest tulenevate jätkusuutlikkusriskide, jätkusuutlikkustegurite ning tarbijate jätkusuutlikkuseelistuste arvestamisega seotud finantsturu osaliste kohustuste ulatust võimalik hinnata </w:t>
      </w:r>
      <w:r w:rsidR="001F12D3">
        <w:t>ega</w:t>
      </w:r>
      <w:r w:rsidR="007E060F" w:rsidRPr="0037068C">
        <w:t xml:space="preserve"> nende täitmine võimalik. </w:t>
      </w:r>
      <w:r w:rsidR="00B12A39" w:rsidRPr="0037068C">
        <w:t xml:space="preserve"> </w:t>
      </w:r>
    </w:p>
    <w:p w14:paraId="3977D07C" w14:textId="77777777" w:rsidR="007E060F" w:rsidRPr="0037068C" w:rsidRDefault="007E060F" w:rsidP="007E060F">
      <w:pPr>
        <w:pStyle w:val="ListParagraph"/>
      </w:pPr>
    </w:p>
    <w:p w14:paraId="6C1AA74B" w14:textId="169C4F44" w:rsidR="007E060F" w:rsidRPr="0037068C" w:rsidRDefault="007E060F" w:rsidP="007E060F">
      <w:pPr>
        <w:pStyle w:val="ListParagraph"/>
        <w:numPr>
          <w:ilvl w:val="0"/>
          <w:numId w:val="2"/>
        </w:numPr>
      </w:pPr>
      <w:r w:rsidRPr="0037068C">
        <w:lastRenderedPageBreak/>
        <w:t>Rõhutame veelkord, et t</w:t>
      </w:r>
      <w:r w:rsidR="00957F3A" w:rsidRPr="0037068C">
        <w:t xml:space="preserve">oetame </w:t>
      </w:r>
      <w:r w:rsidRPr="0037068C">
        <w:t xml:space="preserve">küll </w:t>
      </w:r>
      <w:r w:rsidR="00957F3A" w:rsidRPr="0037068C">
        <w:t xml:space="preserve">SFDR </w:t>
      </w:r>
      <w:r w:rsidRPr="0037068C">
        <w:t xml:space="preserve">revisjoni ja planeeritavaid </w:t>
      </w:r>
      <w:r w:rsidR="00957F3A" w:rsidRPr="0037068C">
        <w:t xml:space="preserve">muudatusi, kuid </w:t>
      </w:r>
      <w:r w:rsidRPr="0037068C">
        <w:t xml:space="preserve">peame vajalikuks märkida, et muudatused on ilmselgelt ebapiisavad ja lõppinvestori vaates </w:t>
      </w:r>
      <w:r w:rsidR="00CC483B" w:rsidRPr="0037068C">
        <w:t xml:space="preserve">pigem </w:t>
      </w:r>
      <w:r w:rsidRPr="0037068C">
        <w:t>ebatõhusad</w:t>
      </w:r>
      <w:r w:rsidR="00CC483B" w:rsidRPr="0037068C">
        <w:t>,</w:t>
      </w:r>
      <w:r w:rsidRPr="0037068C">
        <w:t xml:space="preserve">  </w:t>
      </w:r>
      <w:r w:rsidR="00957F3A" w:rsidRPr="0037068C">
        <w:t xml:space="preserve">muudatused </w:t>
      </w:r>
      <w:r w:rsidR="00CC483B" w:rsidRPr="0037068C">
        <w:t xml:space="preserve"> peaksid</w:t>
      </w:r>
      <w:r w:rsidR="00957F3A" w:rsidRPr="0037068C">
        <w:t xml:space="preserve"> ol</w:t>
      </w:r>
      <w:r w:rsidR="00CC483B" w:rsidRPr="0037068C">
        <w:t>ema</w:t>
      </w:r>
      <w:r w:rsidR="00957F3A" w:rsidRPr="0037068C">
        <w:t xml:space="preserve"> veel</w:t>
      </w:r>
      <w:r w:rsidRPr="0037068C">
        <w:t xml:space="preserve"> oluliselt</w:t>
      </w:r>
      <w:r w:rsidR="00957F3A" w:rsidRPr="0037068C">
        <w:t xml:space="preserve"> ulatuslikumad</w:t>
      </w:r>
      <w:r w:rsidR="001F12D3">
        <w:t xml:space="preserve">. </w:t>
      </w:r>
      <w:r w:rsidR="00957F3A" w:rsidRPr="0037068C">
        <w:t xml:space="preserve"> </w:t>
      </w:r>
      <w:r w:rsidR="001F12D3">
        <w:t>E</w:t>
      </w:r>
      <w:r w:rsidR="00957F3A" w:rsidRPr="0037068C">
        <w:t>riti jätkusuutlikkusega seotud</w:t>
      </w:r>
      <w:r w:rsidRPr="0037068C">
        <w:t xml:space="preserve"> avaldatava teabe hul</w:t>
      </w:r>
      <w:r w:rsidR="001F12D3">
        <w:t xml:space="preserve">ga </w:t>
      </w:r>
      <w:r w:rsidRPr="0037068C">
        <w:t>ja</w:t>
      </w:r>
      <w:r w:rsidR="00957F3A" w:rsidRPr="0037068C">
        <w:t xml:space="preserve"> dokumentatsiooni</w:t>
      </w:r>
      <w:r w:rsidR="001F12D3">
        <w:t xml:space="preserve"> osas</w:t>
      </w:r>
      <w:r w:rsidR="00957F3A" w:rsidRPr="0037068C">
        <w:t>.</w:t>
      </w:r>
    </w:p>
    <w:p w14:paraId="5590D4AB" w14:textId="77777777" w:rsidR="007E060F" w:rsidRPr="0037068C" w:rsidRDefault="007E060F" w:rsidP="007E060F">
      <w:pPr>
        <w:pStyle w:val="ListParagraph"/>
      </w:pPr>
    </w:p>
    <w:p w14:paraId="56B2762A" w14:textId="77777777" w:rsidR="001F12D3" w:rsidRDefault="007E060F" w:rsidP="001F12D3">
      <w:pPr>
        <w:pStyle w:val="ListParagraph"/>
      </w:pPr>
      <w:r w:rsidRPr="0037068C">
        <w:t xml:space="preserve">Oleme nõus, et </w:t>
      </w:r>
      <w:r w:rsidR="00CC483B" w:rsidRPr="0037068C">
        <w:t xml:space="preserve">investoritele on </w:t>
      </w:r>
      <w:r w:rsidRPr="0037068C">
        <w:t xml:space="preserve">oluline on finantstoodete läbipaistvus ning finantstoodete analüüsimiseks on vajalik asjakohane teave. </w:t>
      </w:r>
      <w:r w:rsidR="00CC483B" w:rsidRPr="0037068C">
        <w:t>Samas leiame, et üksnes k</w:t>
      </w:r>
      <w:r w:rsidR="00957F3A" w:rsidRPr="0037068C">
        <w:t xml:space="preserve">utselised investorid suudavad </w:t>
      </w:r>
      <w:r w:rsidR="00CC483B" w:rsidRPr="0037068C">
        <w:t xml:space="preserve">sisuliselt </w:t>
      </w:r>
      <w:r w:rsidR="00957F3A" w:rsidRPr="0037068C">
        <w:t xml:space="preserve">analüüsida </w:t>
      </w:r>
      <w:r w:rsidRPr="0037068C">
        <w:t>finantstoodete</w:t>
      </w:r>
      <w:r w:rsidR="00957F3A" w:rsidRPr="0037068C">
        <w:t xml:space="preserve"> investeeringuid ka ESG perspektiivis, kuid </w:t>
      </w:r>
      <w:r w:rsidRPr="0037068C">
        <w:t xml:space="preserve">keskmise </w:t>
      </w:r>
      <w:proofErr w:type="spellStart"/>
      <w:r w:rsidRPr="0037068C">
        <w:t>jae</w:t>
      </w:r>
      <w:r w:rsidR="00957F3A" w:rsidRPr="0037068C">
        <w:t>investori</w:t>
      </w:r>
      <w:proofErr w:type="spellEnd"/>
      <w:r w:rsidR="00957F3A" w:rsidRPr="0037068C">
        <w:t xml:space="preserve"> jaoks on </w:t>
      </w:r>
      <w:r w:rsidRPr="0037068C">
        <w:t>kaasnev</w:t>
      </w:r>
      <w:r w:rsidR="00957F3A" w:rsidRPr="0037068C">
        <w:t xml:space="preserve"> materjali hulk </w:t>
      </w:r>
      <w:r w:rsidRPr="0037068C">
        <w:t xml:space="preserve">endiselt </w:t>
      </w:r>
      <w:r w:rsidR="00957F3A" w:rsidRPr="0037068C">
        <w:t xml:space="preserve">liiga suur ja info </w:t>
      </w:r>
      <w:r w:rsidR="00CC483B" w:rsidRPr="0037068C">
        <w:t xml:space="preserve">jääb </w:t>
      </w:r>
      <w:r w:rsidR="00D0284A" w:rsidRPr="0037068C">
        <w:t>investori</w:t>
      </w:r>
      <w:r w:rsidR="00CC483B" w:rsidRPr="0037068C">
        <w:t xml:space="preserve">tele endiselt </w:t>
      </w:r>
      <w:r w:rsidR="00D0284A" w:rsidRPr="0037068C">
        <w:t xml:space="preserve">sisuliselt </w:t>
      </w:r>
      <w:r w:rsidR="00957F3A" w:rsidRPr="0037068C">
        <w:t>arusaamatu</w:t>
      </w:r>
      <w:r w:rsidR="00CC483B" w:rsidRPr="0037068C">
        <w:t>ks</w:t>
      </w:r>
      <w:r w:rsidR="00957F3A" w:rsidRPr="0037068C">
        <w:t>.</w:t>
      </w:r>
      <w:r w:rsidR="00D0284A" w:rsidRPr="0037068C">
        <w:t xml:space="preserve"> </w:t>
      </w:r>
    </w:p>
    <w:p w14:paraId="28DBE3EF" w14:textId="77777777" w:rsidR="001F12D3" w:rsidRDefault="001F12D3" w:rsidP="001F12D3">
      <w:pPr>
        <w:pStyle w:val="ListParagraph"/>
      </w:pPr>
    </w:p>
    <w:p w14:paraId="17F7D618" w14:textId="37D0220D" w:rsidR="00173B91" w:rsidRPr="0037068C" w:rsidRDefault="001F12D3" w:rsidP="001F12D3">
      <w:pPr>
        <w:pStyle w:val="ListParagraph"/>
      </w:pPr>
      <w:r>
        <w:t>c) Peame oluliseks, et a</w:t>
      </w:r>
      <w:r w:rsidR="00CC483B" w:rsidRPr="0037068C">
        <w:t>valdatav teave</w:t>
      </w:r>
      <w:r>
        <w:t>,</w:t>
      </w:r>
      <w:r w:rsidR="00CC483B" w:rsidRPr="0037068C">
        <w:t xml:space="preserve"> selle</w:t>
      </w:r>
      <w:r>
        <w:t xml:space="preserve"> sisu ja</w:t>
      </w:r>
      <w:r w:rsidR="00CC483B" w:rsidRPr="0037068C">
        <w:t xml:space="preserve"> tähendus peaks </w:t>
      </w:r>
      <w:r w:rsidR="00D0284A" w:rsidRPr="0037068C">
        <w:t>olema</w:t>
      </w:r>
      <w:r w:rsidR="00CC483B" w:rsidRPr="0037068C">
        <w:t xml:space="preserve"> nii teavet avaldavatele finantsturu osalistele</w:t>
      </w:r>
      <w:r w:rsidR="00D0284A" w:rsidRPr="0037068C">
        <w:t xml:space="preserve"> </w:t>
      </w:r>
      <w:r w:rsidR="00CC483B" w:rsidRPr="0037068C">
        <w:t xml:space="preserve">kui ka investoritele </w:t>
      </w:r>
      <w:r w:rsidR="00D0284A" w:rsidRPr="0037068C">
        <w:t>üheselt</w:t>
      </w:r>
      <w:r w:rsidR="00CC483B" w:rsidRPr="0037068C">
        <w:t xml:space="preserve"> ja lihtsalt</w:t>
      </w:r>
      <w:r w:rsidR="00D0284A" w:rsidRPr="0037068C">
        <w:t xml:space="preserve"> mõistetav </w:t>
      </w:r>
      <w:r w:rsidR="00CC483B" w:rsidRPr="0037068C">
        <w:t>ning sealhulgas ka</w:t>
      </w:r>
      <w:r w:rsidR="00D0284A" w:rsidRPr="0037068C">
        <w:t xml:space="preserve"> mitte liigselt koormav. Samuti </w:t>
      </w:r>
      <w:r w:rsidR="00CC483B" w:rsidRPr="0037068C">
        <w:t>peaks</w:t>
      </w:r>
      <w:r w:rsidR="00D0284A" w:rsidRPr="0037068C">
        <w:t xml:space="preserve"> </w:t>
      </w:r>
      <w:r w:rsidR="00CC483B" w:rsidRPr="0037068C">
        <w:t xml:space="preserve">teave olema avaldatud võimalikult kompaktselt ja ühes kohas. </w:t>
      </w:r>
      <w:r>
        <w:t>K</w:t>
      </w:r>
      <w:r w:rsidR="00B00D12" w:rsidRPr="0037068C">
        <w:t>ogu finantstoote jätkusuutlikkuse alane teave (sh nii lepingueelne teave kui perioodilise aruande teave) peaks olema avaldatud kompaktselt (maksimaalselt üks peatükk või osa) finantstoote muu asjakohase teabe hulgas (näiteks: prospekt, põhiteabedokument</w:t>
      </w:r>
      <w:r w:rsidR="00173B91" w:rsidRPr="0037068C">
        <w:t>, aastaaruanne</w:t>
      </w:r>
      <w:r w:rsidR="00B00D12" w:rsidRPr="0037068C">
        <w:t xml:space="preserve"> vms). </w:t>
      </w:r>
      <w:r w:rsidR="00173B91" w:rsidRPr="0037068C">
        <w:t>A</w:t>
      </w:r>
      <w:r w:rsidR="00B00D12" w:rsidRPr="0037068C">
        <w:t>sjakohatuks</w:t>
      </w:r>
      <w:r w:rsidR="00173B91" w:rsidRPr="0037068C">
        <w:t xml:space="preserve"> ja üksnes segadust tekitavaks</w:t>
      </w:r>
      <w:r w:rsidR="00B00D12" w:rsidRPr="0037068C">
        <w:t xml:space="preserve"> tuleb pidada olukorda, kus</w:t>
      </w:r>
      <w:r w:rsidR="00173B91" w:rsidRPr="0037068C">
        <w:t xml:space="preserve"> teave esitatakse erinevates dokumentides, näiteks</w:t>
      </w:r>
      <w:r w:rsidR="00B00D12" w:rsidRPr="0037068C">
        <w:t xml:space="preserve"> osa teabest esitakse lepingueelses teabes </w:t>
      </w:r>
      <w:r w:rsidR="00173B91" w:rsidRPr="0037068C">
        <w:t>vastavalt</w:t>
      </w:r>
      <w:r w:rsidR="00B00D12" w:rsidRPr="0037068C">
        <w:t xml:space="preserve"> SFDR Art 6 ning osa teabest eraldi vastavatel kehtestatud vormidel</w:t>
      </w:r>
      <w:r w:rsidR="00173B91" w:rsidRPr="0037068C">
        <w:t xml:space="preserve"> (v.t ka</w:t>
      </w:r>
      <w:r w:rsidR="00B00D12" w:rsidRPr="0037068C">
        <w:t xml:space="preserve"> SFDR Art 8 ja 9). Oleme arusaamal, et planeeritud SFDR muudatuste korral selline andmete paralleelesitamine jätkuks. </w:t>
      </w:r>
    </w:p>
    <w:p w14:paraId="2F989E5D" w14:textId="6D487F6C" w:rsidR="00CC483B" w:rsidRPr="0037068C" w:rsidRDefault="00CC483B" w:rsidP="001F12D3">
      <w:pPr>
        <w:ind w:left="708"/>
      </w:pPr>
      <w:r w:rsidRPr="0037068C">
        <w:t xml:space="preserve">Kuigi rakendusaktid hetkel puuduvad, on tegemist </w:t>
      </w:r>
      <w:r w:rsidR="00173B91" w:rsidRPr="0037068C">
        <w:t xml:space="preserve">teabe esitamise vaates </w:t>
      </w:r>
      <w:r w:rsidRPr="0037068C">
        <w:t xml:space="preserve">niivõrd olulise aspektiga, mis ei </w:t>
      </w:r>
      <w:r w:rsidR="001F12D3">
        <w:t xml:space="preserve">võimalda </w:t>
      </w:r>
      <w:r w:rsidRPr="0037068C">
        <w:t xml:space="preserve">kujundada SFDR muudatuse kohta seisukohta ilma, et ollakse kaasnevatest kohustustest ja nende sisust tegelikult teadlik. </w:t>
      </w:r>
    </w:p>
    <w:p w14:paraId="73DEE79A" w14:textId="549DFB7B" w:rsidR="00577F2F" w:rsidRPr="0037068C" w:rsidRDefault="00173B91" w:rsidP="00173B91">
      <w:r w:rsidRPr="0037068C">
        <w:t>d)</w:t>
      </w:r>
      <w:r w:rsidR="00D0284A" w:rsidRPr="0037068C">
        <w:t xml:space="preserve"> </w:t>
      </w:r>
      <w:r w:rsidRPr="0037068C">
        <w:t xml:space="preserve">SFDR kui teabe avalikustamise määrus ei tohiks kehtestada teabe avalikustamise nõuete kaudu kohustusi, mida finantsuru osalistel ei ole. </w:t>
      </w:r>
      <w:r w:rsidR="00D0284A" w:rsidRPr="0037068C">
        <w:t xml:space="preserve">Näiteks, lisaks juba pakutud muudatustele võiks pöörata tähelepanu ka SDFR artiklis 6 (1) b </w:t>
      </w:r>
      <w:r w:rsidR="00957F3A" w:rsidRPr="0037068C">
        <w:t xml:space="preserve"> </w:t>
      </w:r>
      <w:r w:rsidR="00D0284A" w:rsidRPr="0037068C">
        <w:t xml:space="preserve">toodud </w:t>
      </w:r>
      <w:r w:rsidRPr="0037068C">
        <w:t xml:space="preserve">kohustusele finantsturu osalistel avaldada, </w:t>
      </w:r>
      <w:r w:rsidR="00FA2A96" w:rsidRPr="0037068C">
        <w:rPr>
          <w:i/>
          <w:iCs/>
        </w:rPr>
        <w:t>milline on nende poolt kättesaadavaks tehtavate finantstoodete tootlusele jätkusuutlikkusriskide poolt avalduva tõenäolise mõju hindamise tulemus</w:t>
      </w:r>
      <w:r w:rsidR="00FA2A96" w:rsidRPr="0037068C">
        <w:t xml:space="preserve">. </w:t>
      </w:r>
    </w:p>
    <w:p w14:paraId="536657D0" w14:textId="70605508" w:rsidR="00957F3A" w:rsidRPr="0037068C" w:rsidRDefault="00173B91" w:rsidP="00173B91">
      <w:r w:rsidRPr="0037068C">
        <w:t>Lisaks sellele, et meile ei ole teada, et finantsturu osalistele selli</w:t>
      </w:r>
      <w:r w:rsidR="00860AC3" w:rsidRPr="0037068C">
        <w:t>st</w:t>
      </w:r>
      <w:r w:rsidRPr="0037068C">
        <w:t xml:space="preserve"> hindamise kohustust otseselt tuleneks (v.a. eelnimetatud hindamise tulemuse avaldamise kohustus),</w:t>
      </w:r>
      <w:r w:rsidR="00FA2A96" w:rsidRPr="0037068C">
        <w:t xml:space="preserve"> on</w:t>
      </w:r>
      <w:r w:rsidRPr="0037068C">
        <w:t xml:space="preserve"> vastav säte osutunud</w:t>
      </w:r>
      <w:r w:rsidR="00FA2A96" w:rsidRPr="0037068C">
        <w:t xml:space="preserve"> praktikas niivõrd ebaselgeks</w:t>
      </w:r>
      <w:r w:rsidRPr="0037068C">
        <w:t xml:space="preserve"> (puudub igasugune arvestatav metoodika jne)</w:t>
      </w:r>
      <w:r w:rsidR="00860AC3" w:rsidRPr="0037068C">
        <w:t xml:space="preserve"> et puudub andmete igasugune võrreldavus ja see ei oma investorite jaoks mingit sisulist väärtust. </w:t>
      </w:r>
      <w:r w:rsidR="001F12D3">
        <w:t xml:space="preserve">Nõude ebaõnnestumist näitab ka see, et </w:t>
      </w:r>
      <w:r w:rsidR="00FA2A96" w:rsidRPr="0037068C">
        <w:t>erinevad järelevalveasutused omavad selle</w:t>
      </w:r>
      <w:r w:rsidRPr="0037068C">
        <w:t xml:space="preserve"> sisustamise osas (mida ja kuidas tuleb hinnata) oluliselt </w:t>
      </w:r>
      <w:r w:rsidR="00FA2A96" w:rsidRPr="0037068C">
        <w:t xml:space="preserve">erinevaid nägemusi ja nõudeid.  </w:t>
      </w:r>
    </w:p>
    <w:p w14:paraId="158B11F5" w14:textId="77777777" w:rsidR="00957F3A" w:rsidRPr="0037068C" w:rsidRDefault="00957F3A" w:rsidP="00B12A39">
      <w:pPr>
        <w:pStyle w:val="ListParagraph"/>
      </w:pPr>
    </w:p>
    <w:p w14:paraId="104D68E2" w14:textId="171792A0" w:rsidR="00860AC3" w:rsidRPr="0037068C" w:rsidRDefault="00860AC3" w:rsidP="00860AC3">
      <w:r w:rsidRPr="0037068C">
        <w:t xml:space="preserve">Kokkuvõttes toetame SFDR revisjoni ning SFDR planeeritavat muutmist, kuid peame tehtud muudatusi ebatõhusaks ning liiga väheseks. Vältimaks SFDR korduva muutmisega finantsturu osalistele tekkivat ebamõistlikku ja korduvat ressursikulu, palume kaaluda mitte toetada käesolevaid SFDR muudatusi ning nõuda SFDR ulatuslikumat ning veelgi põhjalikumat muutmist, sealhulgas koos muudatustega kaasnevate mõjutatud delegeeritud määruste või nende muudatuste väljatöötamist ning menetlemist ühes paketis koos SFDR  muudatustega. </w:t>
      </w:r>
    </w:p>
    <w:p w14:paraId="59F155EA" w14:textId="6A44CD2D" w:rsidR="00B12A39" w:rsidRPr="0037068C" w:rsidRDefault="00860AC3" w:rsidP="00860AC3">
      <w:r w:rsidRPr="0037068C">
        <w:lastRenderedPageBreak/>
        <w:t xml:space="preserve">Ühtlasi palume </w:t>
      </w:r>
      <w:r w:rsidR="0037068C" w:rsidRPr="0037068C">
        <w:t xml:space="preserve">ja </w:t>
      </w:r>
      <w:r w:rsidRPr="0037068C">
        <w:t>teeme ettepaneku, et</w:t>
      </w:r>
      <w:r w:rsidR="0037068C" w:rsidRPr="0037068C">
        <w:t xml:space="preserve"> Vabariigi Valitsus võtaks asjakohaseid samme, et </w:t>
      </w:r>
      <w:r w:rsidRPr="0037068C">
        <w:t xml:space="preserve"> </w:t>
      </w:r>
      <w:r w:rsidR="0037068C" w:rsidRPr="0037068C">
        <w:t xml:space="preserve">Euroopa Liidu </w:t>
      </w:r>
      <w:r w:rsidRPr="0037068C">
        <w:t xml:space="preserve">asjakohane institutsioon väljastaks </w:t>
      </w:r>
      <w:r w:rsidR="0037068C" w:rsidRPr="0037068C">
        <w:t xml:space="preserve">SFDR rakendamise suhtes </w:t>
      </w:r>
      <w:r w:rsidRPr="0037068C">
        <w:t>nö no-</w:t>
      </w:r>
      <w:proofErr w:type="spellStart"/>
      <w:r w:rsidRPr="0037068C">
        <w:t>action</w:t>
      </w:r>
      <w:proofErr w:type="spellEnd"/>
      <w:r w:rsidRPr="0037068C">
        <w:t xml:space="preserve"> </w:t>
      </w:r>
      <w:proofErr w:type="spellStart"/>
      <w:r w:rsidRPr="0037068C">
        <w:t>letter´i</w:t>
      </w:r>
      <w:proofErr w:type="spellEnd"/>
      <w:r w:rsidRPr="0037068C">
        <w:t>, kuni SFDR</w:t>
      </w:r>
      <w:r w:rsidR="0037068C" w:rsidRPr="0037068C">
        <w:t xml:space="preserve"> uute</w:t>
      </w:r>
      <w:r w:rsidRPr="0037068C">
        <w:t xml:space="preserve"> </w:t>
      </w:r>
      <w:r w:rsidR="0037068C" w:rsidRPr="0037068C">
        <w:t xml:space="preserve">ja ulatuslikumate muudatuste väljatöötamiseni ja </w:t>
      </w:r>
      <w:r w:rsidRPr="0037068C">
        <w:t>jõustumiseni.</w:t>
      </w:r>
    </w:p>
    <w:sectPr w:rsidR="00B12A39" w:rsidRPr="003706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6E4D"/>
    <w:multiLevelType w:val="hybridMultilevel"/>
    <w:tmpl w:val="93FCC18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A2E2C8A"/>
    <w:multiLevelType w:val="hybridMultilevel"/>
    <w:tmpl w:val="46E0959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38819109">
    <w:abstractNumId w:val="0"/>
  </w:num>
  <w:num w:numId="2" w16cid:durableId="1123116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C5F"/>
    <w:rsid w:val="00163473"/>
    <w:rsid w:val="00173B91"/>
    <w:rsid w:val="001943B9"/>
    <w:rsid w:val="001E5DFB"/>
    <w:rsid w:val="001E6E01"/>
    <w:rsid w:val="001F12D3"/>
    <w:rsid w:val="00277ACB"/>
    <w:rsid w:val="0037068C"/>
    <w:rsid w:val="004A5734"/>
    <w:rsid w:val="00506A3A"/>
    <w:rsid w:val="00577F2F"/>
    <w:rsid w:val="005B2412"/>
    <w:rsid w:val="007138E0"/>
    <w:rsid w:val="007E060F"/>
    <w:rsid w:val="00820683"/>
    <w:rsid w:val="00860AC3"/>
    <w:rsid w:val="008E32A6"/>
    <w:rsid w:val="00916569"/>
    <w:rsid w:val="009344C9"/>
    <w:rsid w:val="00951DAE"/>
    <w:rsid w:val="00957F3A"/>
    <w:rsid w:val="009B2288"/>
    <w:rsid w:val="00A64E76"/>
    <w:rsid w:val="00A95C5F"/>
    <w:rsid w:val="00AB327A"/>
    <w:rsid w:val="00B00D12"/>
    <w:rsid w:val="00B0412C"/>
    <w:rsid w:val="00B12A39"/>
    <w:rsid w:val="00C66056"/>
    <w:rsid w:val="00CC483B"/>
    <w:rsid w:val="00D0284A"/>
    <w:rsid w:val="00D63A75"/>
    <w:rsid w:val="00E9678A"/>
    <w:rsid w:val="00F26E54"/>
    <w:rsid w:val="00F7413F"/>
    <w:rsid w:val="00FA2A9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E4D4"/>
  <w15:chartTrackingRefBased/>
  <w15:docId w15:val="{CFF53C97-64AF-40D2-85EE-84BC1694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C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C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C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C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C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C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C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C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C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C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C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C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C5F"/>
    <w:rPr>
      <w:rFonts w:eastAsiaTheme="majorEastAsia" w:cstheme="majorBidi"/>
      <w:color w:val="272727" w:themeColor="text1" w:themeTint="D8"/>
    </w:rPr>
  </w:style>
  <w:style w:type="paragraph" w:styleId="Title">
    <w:name w:val="Title"/>
    <w:basedOn w:val="Normal"/>
    <w:next w:val="Normal"/>
    <w:link w:val="TitleChar"/>
    <w:uiPriority w:val="10"/>
    <w:qFormat/>
    <w:rsid w:val="00A95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C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C5F"/>
    <w:pPr>
      <w:spacing w:before="160"/>
      <w:jc w:val="center"/>
    </w:pPr>
    <w:rPr>
      <w:i/>
      <w:iCs/>
      <w:color w:val="404040" w:themeColor="text1" w:themeTint="BF"/>
    </w:rPr>
  </w:style>
  <w:style w:type="character" w:customStyle="1" w:styleId="QuoteChar">
    <w:name w:val="Quote Char"/>
    <w:basedOn w:val="DefaultParagraphFont"/>
    <w:link w:val="Quote"/>
    <w:uiPriority w:val="29"/>
    <w:rsid w:val="00A95C5F"/>
    <w:rPr>
      <w:i/>
      <w:iCs/>
      <w:color w:val="404040" w:themeColor="text1" w:themeTint="BF"/>
    </w:rPr>
  </w:style>
  <w:style w:type="paragraph" w:styleId="ListParagraph">
    <w:name w:val="List Paragraph"/>
    <w:basedOn w:val="Normal"/>
    <w:uiPriority w:val="34"/>
    <w:qFormat/>
    <w:rsid w:val="00A95C5F"/>
    <w:pPr>
      <w:ind w:left="720"/>
      <w:contextualSpacing/>
    </w:pPr>
  </w:style>
  <w:style w:type="character" w:styleId="IntenseEmphasis">
    <w:name w:val="Intense Emphasis"/>
    <w:basedOn w:val="DefaultParagraphFont"/>
    <w:uiPriority w:val="21"/>
    <w:qFormat/>
    <w:rsid w:val="00A95C5F"/>
    <w:rPr>
      <w:i/>
      <w:iCs/>
      <w:color w:val="0F4761" w:themeColor="accent1" w:themeShade="BF"/>
    </w:rPr>
  </w:style>
  <w:style w:type="paragraph" w:styleId="IntenseQuote">
    <w:name w:val="Intense Quote"/>
    <w:basedOn w:val="Normal"/>
    <w:next w:val="Normal"/>
    <w:link w:val="IntenseQuoteChar"/>
    <w:uiPriority w:val="30"/>
    <w:qFormat/>
    <w:rsid w:val="00A95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C5F"/>
    <w:rPr>
      <w:i/>
      <w:iCs/>
      <w:color w:val="0F4761" w:themeColor="accent1" w:themeShade="BF"/>
    </w:rPr>
  </w:style>
  <w:style w:type="character" w:styleId="IntenseReference">
    <w:name w:val="Intense Reference"/>
    <w:basedOn w:val="DefaultParagraphFont"/>
    <w:uiPriority w:val="32"/>
    <w:qFormat/>
    <w:rsid w:val="00A95C5F"/>
    <w:rPr>
      <w:b/>
      <w:bCs/>
      <w:smallCaps/>
      <w:color w:val="0F4761" w:themeColor="accent1" w:themeShade="BF"/>
      <w:spacing w:val="5"/>
    </w:rPr>
  </w:style>
  <w:style w:type="character" w:styleId="Hyperlink">
    <w:name w:val="Hyperlink"/>
    <w:basedOn w:val="DefaultParagraphFont"/>
    <w:uiPriority w:val="99"/>
    <w:unhideWhenUsed/>
    <w:rsid w:val="001943B9"/>
    <w:rPr>
      <w:color w:val="467886" w:themeColor="hyperlink"/>
      <w:u w:val="single"/>
    </w:rPr>
  </w:style>
  <w:style w:type="character" w:styleId="UnresolvedMention">
    <w:name w:val="Unresolved Mention"/>
    <w:basedOn w:val="DefaultParagraphFont"/>
    <w:uiPriority w:val="99"/>
    <w:semiHidden/>
    <w:unhideWhenUsed/>
    <w:rsid w:val="00194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8B2ED-2AF1-4116-B39F-B6D03420DA4B}">
  <ds:schemaRefs>
    <ds:schemaRef ds:uri="http://schemas.openxmlformats.org/officeDocument/2006/bibliography"/>
  </ds:schemaRefs>
</ds:datastoreItem>
</file>

<file path=docMetadata/LabelInfo.xml><?xml version="1.0" encoding="utf-8"?>
<clbl:labelList xmlns:clbl="http://schemas.microsoft.com/office/2020/mipLabelMetadata">
  <clbl:label id="{499f5b44-9d64-49b5-ab1b-1935215bbc28}" enabled="1" method="Privileged" siteId="{e06b362b-4101-487e-ac7c-ade9d4cc404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 Legal</dc:creator>
  <cp:keywords/>
  <dc:description/>
  <cp:lastModifiedBy>Tiit Altmäe</cp:lastModifiedBy>
  <cp:revision>2</cp:revision>
  <dcterms:created xsi:type="dcterms:W3CDTF">2026-03-13T15:11:00Z</dcterms:created>
  <dcterms:modified xsi:type="dcterms:W3CDTF">2026-03-13T15:11:00Z</dcterms:modified>
</cp:coreProperties>
</file>